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A852A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 14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27B5A75E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 w:type="textWrapping"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 расчета резерва предстоящих расходов по выплатам персоналу</w:t>
      </w:r>
    </w:p>
    <w:p w14:paraId="7888974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Оценочное обязательство резерва предстоящих расходов по выплатам персоналу определяется ежеквартально на последний день квартала.</w:t>
      </w:r>
    </w:p>
    <w:p w14:paraId="17A4DA3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 величину резерва предстоящих расходов по выплатам персоналу включаются:</w:t>
      </w:r>
    </w:p>
    <w:p w14:paraId="00DE96A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сумма оплаты отпусков сотрудникам за фактически отработанное время на дату расчета резерва;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2) начисленная на отпускные сумма обязательных страховых взносов.</w:t>
      </w:r>
    </w:p>
    <w:p w14:paraId="15F7E0A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Сумма оплаты отпусков рассчитывается по формуле:</w:t>
      </w:r>
    </w:p>
    <w:tbl>
      <w:tblPr>
        <w:tblStyle w:val="4"/>
        <w:tblW w:w="8936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286"/>
        <w:gridCol w:w="5083"/>
        <w:gridCol w:w="324"/>
        <w:gridCol w:w="2163"/>
      </w:tblGrid>
      <w:tr w14:paraId="4C253C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4CEADF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27F45A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D29F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не использованных всеми сотрудниками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 отпусков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последний день квартала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FCCBCF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E2FA5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дневной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заработок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учреждению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 последние 12 мес.</w:t>
            </w:r>
          </w:p>
        </w:tc>
      </w:tr>
      <w:tr w14:paraId="38BD1F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8C58F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A51D4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FF32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F85A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5D157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D6C392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Данные о количестве дней неиспользованного отпуска представляет кадровая служба в соответствии с графиком документооборота.</w:t>
      </w:r>
    </w:p>
    <w:p w14:paraId="6529BEE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Средний дневной заработок (З ср. д.) в целом по учреждению определяется по формуле:</w:t>
      </w:r>
    </w:p>
    <w:p w14:paraId="1B4FB1B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 ср. д. = ФОТ : 12 мес. : Ч : 29,3</w:t>
      </w:r>
    </w:p>
    <w:p w14:paraId="257F67A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где:</w:t>
      </w:r>
    </w:p>
    <w:p w14:paraId="7238F03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 – фонд оплаты труда в целом по учреждению за 12 месяцев, предшествующих дате расчета резерва;</w:t>
      </w:r>
    </w:p>
    <w:p w14:paraId="6E7F5A5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 – количество штатных единиц по штатному расписанию, действующему на дату расчета резерва;</w:t>
      </w:r>
    </w:p>
    <w:p w14:paraId="65732B9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29,3 – среднемесячное число календарных дней, установленное статьей 139 Трудового кодекса.</w:t>
      </w:r>
    </w:p>
    <w:p w14:paraId="2CF6AE9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В сумму обязательных страховых взносов для формирования резерва включаются:</w:t>
      </w:r>
    </w:p>
    <w:p w14:paraId="3BF170E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сумма, рассчитанная по общеустановленной ставке страховых взносов;</w:t>
      </w:r>
    </w:p>
    <w:p w14:paraId="79DD4C9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сумма, рассчитанная из дополнительных тарифов страховых взносов во внебюджетные фонды.</w:t>
      </w:r>
    </w:p>
    <w:p w14:paraId="0F1ADCE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 страховых взносов и взносов на травматизм.</w:t>
      </w:r>
    </w:p>
    <w:p w14:paraId="14EDFEA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Дополнительные тарифы обязательных страховых взносов рассчитываются отдельно по формуле:</w:t>
      </w:r>
    </w:p>
    <w:p w14:paraId="17FED85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= Впр : ФОТ × 100, где:</w:t>
      </w:r>
    </w:p>
    <w:p w14:paraId="45550C1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– дополнительные тарифы страховых взносов в Пенсионный фонд, включаемые в расчет резерва;</w:t>
      </w:r>
    </w:p>
    <w:p w14:paraId="51DB08E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Впр – сумма дополнительных тарифов страховых взносов  на пенсионное страхование, рассчитанная за 12 месяцев, предшествующих дате расчета резерва;</w:t>
      </w:r>
    </w:p>
    <w:p w14:paraId="39501E9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 – фонд оплаты труда в целом по учреждению за 12 месяцев, предшествующих дате расчета резерва.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6988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A28277EADF3A460292A23A6101D9D328_13</vt:lpwstr>
  </property>
</Properties>
</file>